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3A6" w:rsidRDefault="003523A6" w:rsidP="00B72ACC">
      <w:pPr>
        <w:spacing w:after="0"/>
        <w:rPr>
          <w:rFonts w:cs="Calibri"/>
          <w:sz w:val="28"/>
          <w:szCs w:val="28"/>
        </w:rPr>
      </w:pPr>
      <w:bookmarkStart w:id="0" w:name="zplanovaci"/>
      <w:bookmarkEnd w:id="0"/>
      <w:r>
        <w:rPr>
          <w:rFonts w:cs="Calibri"/>
          <w:sz w:val="28"/>
          <w:szCs w:val="28"/>
        </w:rPr>
        <w:t>Příloha č.1</w:t>
      </w:r>
    </w:p>
    <w:p w:rsidR="003523A6" w:rsidRDefault="003523A6" w:rsidP="00B72ACC">
      <w:pPr>
        <w:pStyle w:val="NormalWeb"/>
        <w:jc w:val="center"/>
        <w:rPr>
          <w:rFonts w:ascii="Calibri" w:hAnsi="Calibri" w:cs="Calibri"/>
          <w:sz w:val="28"/>
          <w:szCs w:val="28"/>
        </w:rPr>
      </w:pPr>
      <w:r>
        <w:rPr>
          <w:rFonts w:ascii="Calibri" w:hAnsi="Calibri" w:cs="Calibri"/>
          <w:sz w:val="28"/>
          <w:szCs w:val="28"/>
        </w:rPr>
        <w:t>Výklad Úřadu pro ochranu hospodářské soutěže.</w:t>
      </w:r>
    </w:p>
    <w:p w:rsidR="003523A6" w:rsidRPr="002F0A6B" w:rsidRDefault="003523A6" w:rsidP="004422AD">
      <w:pPr>
        <w:pStyle w:val="NormalWeb"/>
        <w:rPr>
          <w:rFonts w:ascii="Calibri" w:hAnsi="Calibri" w:cs="Calibri"/>
          <w:b/>
          <w:sz w:val="28"/>
          <w:szCs w:val="28"/>
        </w:rPr>
      </w:pPr>
      <w:r w:rsidRPr="002F0A6B">
        <w:rPr>
          <w:rFonts w:ascii="Calibri" w:hAnsi="Calibri" w:cs="Calibri"/>
          <w:b/>
          <w:sz w:val="28"/>
          <w:szCs w:val="28"/>
        </w:rPr>
        <w:t>Definiční znaky veřejné podpory.</w:t>
      </w:r>
      <w:bookmarkStart w:id="1" w:name="_GoBack"/>
      <w:bookmarkEnd w:id="1"/>
    </w:p>
    <w:p w:rsidR="003523A6" w:rsidRPr="004422AD" w:rsidRDefault="003523A6" w:rsidP="004422AD">
      <w:pPr>
        <w:pStyle w:val="NormalWeb"/>
        <w:rPr>
          <w:rFonts w:ascii="Calibri" w:hAnsi="Calibri" w:cs="Calibri"/>
          <w:sz w:val="28"/>
          <w:szCs w:val="28"/>
        </w:rPr>
      </w:pPr>
      <w:r w:rsidRPr="004422AD">
        <w:rPr>
          <w:rFonts w:ascii="Calibri" w:hAnsi="Calibri" w:cs="Calibri"/>
          <w:sz w:val="28"/>
          <w:szCs w:val="28"/>
        </w:rPr>
        <w:t xml:space="preserve">Pojem státní podpory se vztahuje na jakoukoli </w:t>
      </w:r>
      <w:r w:rsidRPr="004422AD">
        <w:rPr>
          <w:rStyle w:val="Strong"/>
          <w:rFonts w:ascii="Calibri" w:hAnsi="Calibri" w:cs="Calibri"/>
          <w:sz w:val="28"/>
          <w:szCs w:val="28"/>
        </w:rPr>
        <w:t>přímo či nepřímo poskytnutou výhodu financovanou ze státních prostředků</w:t>
      </w:r>
      <w:r w:rsidRPr="004422AD">
        <w:rPr>
          <w:rFonts w:ascii="Calibri" w:hAnsi="Calibri" w:cs="Calibri"/>
          <w:sz w:val="28"/>
          <w:szCs w:val="28"/>
        </w:rPr>
        <w:t xml:space="preserve">, poskytnutou </w:t>
      </w:r>
      <w:r w:rsidRPr="004422AD">
        <w:rPr>
          <w:rStyle w:val="Strong"/>
          <w:rFonts w:ascii="Calibri" w:hAnsi="Calibri" w:cs="Calibri"/>
          <w:sz w:val="28"/>
          <w:szCs w:val="28"/>
        </w:rPr>
        <w:t>státem</w:t>
      </w:r>
      <w:r w:rsidRPr="004422AD">
        <w:rPr>
          <w:rFonts w:ascii="Calibri" w:hAnsi="Calibri" w:cs="Calibri"/>
          <w:sz w:val="28"/>
          <w:szCs w:val="28"/>
        </w:rPr>
        <w:t xml:space="preserve"> jako takovým nebo </w:t>
      </w:r>
      <w:r w:rsidRPr="004422AD">
        <w:rPr>
          <w:rStyle w:val="Strong"/>
          <w:rFonts w:ascii="Calibri" w:hAnsi="Calibri" w:cs="Calibri"/>
          <w:sz w:val="28"/>
          <w:szCs w:val="28"/>
        </w:rPr>
        <w:t>zprostředkujícím subjektem</w:t>
      </w:r>
      <w:r w:rsidRPr="004422AD">
        <w:rPr>
          <w:rFonts w:ascii="Calibri" w:hAnsi="Calibri" w:cs="Calibri"/>
          <w:sz w:val="28"/>
          <w:szCs w:val="28"/>
        </w:rPr>
        <w:t xml:space="preserve"> jednajícím na základě svěřených pravomocí.</w:t>
      </w:r>
    </w:p>
    <w:p w:rsidR="003523A6" w:rsidRPr="004422AD" w:rsidRDefault="003523A6" w:rsidP="004422AD">
      <w:pPr>
        <w:pStyle w:val="NormalWeb"/>
        <w:rPr>
          <w:rFonts w:ascii="Calibri" w:hAnsi="Calibri" w:cs="Calibri"/>
          <w:sz w:val="28"/>
          <w:szCs w:val="28"/>
        </w:rPr>
      </w:pPr>
      <w:r w:rsidRPr="004422AD">
        <w:rPr>
          <w:rFonts w:ascii="Calibri" w:hAnsi="Calibri" w:cs="Calibri"/>
          <w:sz w:val="28"/>
          <w:szCs w:val="28"/>
        </w:rPr>
        <w:t xml:space="preserve">Základním předpokladem pro naplnění tohoto definičního znaku je </w:t>
      </w:r>
      <w:r w:rsidRPr="004422AD">
        <w:rPr>
          <w:rStyle w:val="Strong"/>
          <w:rFonts w:ascii="Calibri" w:hAnsi="Calibri" w:cs="Calibri"/>
          <w:sz w:val="28"/>
          <w:szCs w:val="28"/>
        </w:rPr>
        <w:t>ovlivnění veřejných rozpočtů</w:t>
      </w:r>
      <w:r w:rsidRPr="004422AD">
        <w:rPr>
          <w:rFonts w:ascii="Calibri" w:hAnsi="Calibri" w:cs="Calibri"/>
          <w:sz w:val="28"/>
          <w:szCs w:val="28"/>
        </w:rPr>
        <w:t xml:space="preserve">, přitom není rozhodující, zda jsou veřejné rozpočty ovlivněny přímo (vydáním finančních prostředků) či nepřímo (nerozšířením jejich příjmové stránky, ke kterému by za normálních okolností došlo). Za veřejné prostředky se považují i </w:t>
      </w:r>
      <w:r w:rsidRPr="004422AD">
        <w:rPr>
          <w:rStyle w:val="Strong"/>
          <w:rFonts w:ascii="Calibri" w:hAnsi="Calibri" w:cs="Calibri"/>
          <w:sz w:val="28"/>
          <w:szCs w:val="28"/>
        </w:rPr>
        <w:t>fondy, které jsou kontrolovány orgány veřejné správy</w:t>
      </w:r>
      <w:r w:rsidRPr="004422AD">
        <w:rPr>
          <w:rFonts w:ascii="Calibri" w:hAnsi="Calibri" w:cs="Calibri"/>
          <w:sz w:val="28"/>
          <w:szCs w:val="28"/>
        </w:rPr>
        <w:t>.</w:t>
      </w:r>
    </w:p>
    <w:p w:rsidR="003523A6" w:rsidRPr="004422AD" w:rsidRDefault="003523A6" w:rsidP="004422AD">
      <w:pPr>
        <w:pStyle w:val="NormalWeb"/>
        <w:rPr>
          <w:rFonts w:ascii="Calibri" w:hAnsi="Calibri" w:cs="Calibri"/>
          <w:sz w:val="28"/>
          <w:szCs w:val="28"/>
        </w:rPr>
      </w:pPr>
      <w:r w:rsidRPr="004422AD">
        <w:rPr>
          <w:rFonts w:ascii="Calibri" w:hAnsi="Calibri" w:cs="Calibri"/>
          <w:sz w:val="28"/>
          <w:szCs w:val="28"/>
        </w:rPr>
        <w:t xml:space="preserve">Pojmem </w:t>
      </w:r>
      <w:r w:rsidRPr="004422AD">
        <w:rPr>
          <w:rStyle w:val="Strong"/>
          <w:rFonts w:ascii="Calibri" w:hAnsi="Calibri" w:cs="Calibri"/>
          <w:sz w:val="28"/>
          <w:szCs w:val="28"/>
        </w:rPr>
        <w:t xml:space="preserve">podnik </w:t>
      </w:r>
      <w:r w:rsidRPr="004422AD">
        <w:rPr>
          <w:rFonts w:ascii="Calibri" w:hAnsi="Calibri" w:cs="Calibri"/>
          <w:sz w:val="28"/>
          <w:szCs w:val="28"/>
        </w:rPr>
        <w:t xml:space="preserve">se rozumí </w:t>
      </w:r>
      <w:r w:rsidRPr="004422AD">
        <w:rPr>
          <w:rStyle w:val="Strong"/>
          <w:rFonts w:ascii="Calibri" w:hAnsi="Calibri" w:cs="Calibri"/>
          <w:sz w:val="28"/>
          <w:szCs w:val="28"/>
        </w:rPr>
        <w:t>jakákoli entita, která vykonává ekonomickou činnost</w:t>
      </w:r>
      <w:r w:rsidRPr="004422AD">
        <w:rPr>
          <w:rFonts w:ascii="Calibri" w:hAnsi="Calibri" w:cs="Calibri"/>
          <w:sz w:val="28"/>
          <w:szCs w:val="28"/>
        </w:rPr>
        <w:t xml:space="preserve">, bez ohledu na její právní status nebo způsob, jakým je financována. V českém právním prostředí je tedy podnikem jakákoliv fyzická nebo právnická osoba, jakékoliv sdružení nebo seskupení osob bez právní subjektivity, jakož i každý veřejný orgán, buď se samostatnou právní subjektivitou, nebo spadající pod orgán veřejné moci, který takovou samostatnou právní subjektivitu má. Podstatná je provozovaná činnost podniku, zda jí lze považovat za ekonomickou či nikoliv. </w:t>
      </w:r>
      <w:r w:rsidRPr="004422AD">
        <w:rPr>
          <w:rStyle w:val="Strong"/>
          <w:rFonts w:ascii="Calibri" w:hAnsi="Calibri" w:cs="Calibri"/>
          <w:sz w:val="28"/>
          <w:szCs w:val="28"/>
        </w:rPr>
        <w:t>Ekonomickou činností</w:t>
      </w:r>
      <w:r w:rsidRPr="004422AD">
        <w:rPr>
          <w:rFonts w:ascii="Calibri" w:hAnsi="Calibri" w:cs="Calibri"/>
          <w:sz w:val="28"/>
          <w:szCs w:val="28"/>
        </w:rPr>
        <w:t xml:space="preserve"> se v souladu s rozhodovací praxí rozumí </w:t>
      </w:r>
      <w:r w:rsidRPr="004422AD">
        <w:rPr>
          <w:rStyle w:val="Strong"/>
          <w:rFonts w:ascii="Calibri" w:hAnsi="Calibri" w:cs="Calibri"/>
          <w:sz w:val="28"/>
          <w:szCs w:val="28"/>
        </w:rPr>
        <w:t>nabízení zboží a/nebo služeb na trhu.</w:t>
      </w:r>
      <w:r w:rsidRPr="004422AD">
        <w:rPr>
          <w:rFonts w:ascii="Calibri" w:hAnsi="Calibri" w:cs="Calibri"/>
          <w:sz w:val="28"/>
          <w:szCs w:val="28"/>
        </w:rPr>
        <w:t xml:space="preserve"> Ani neziskovost v konkrétním případě nehraje zásadní roli.</w:t>
      </w:r>
    </w:p>
    <w:p w:rsidR="003523A6" w:rsidRPr="00093A1A" w:rsidRDefault="003523A6" w:rsidP="004422AD">
      <w:pPr>
        <w:pStyle w:val="NormalWeb"/>
        <w:rPr>
          <w:rFonts w:ascii="Calibri" w:hAnsi="Calibri" w:cs="Calibri"/>
          <w:b/>
          <w:sz w:val="28"/>
          <w:szCs w:val="28"/>
        </w:rPr>
      </w:pPr>
      <w:r w:rsidRPr="00093A1A">
        <w:rPr>
          <w:rFonts w:ascii="Calibri" w:hAnsi="Calibri" w:cs="Calibri"/>
          <w:b/>
          <w:sz w:val="28"/>
          <w:szCs w:val="28"/>
        </w:rPr>
        <w:t xml:space="preserve">Zvýhodnění představuje stav, který by za běžných tržních podmínek nenastal. Ke </w:t>
      </w:r>
      <w:r w:rsidRPr="00093A1A">
        <w:rPr>
          <w:rStyle w:val="Strong"/>
          <w:rFonts w:ascii="Calibri" w:hAnsi="Calibri" w:cs="Calibri"/>
          <w:sz w:val="28"/>
          <w:szCs w:val="28"/>
        </w:rPr>
        <w:t>zvýhodnění</w:t>
      </w:r>
      <w:r w:rsidRPr="00093A1A">
        <w:rPr>
          <w:rFonts w:ascii="Calibri" w:hAnsi="Calibri" w:cs="Calibri"/>
          <w:b/>
          <w:sz w:val="28"/>
          <w:szCs w:val="28"/>
        </w:rPr>
        <w:t xml:space="preserve"> dochází už tehdy, kdy podpora snižuje náklady, které by musel příjemce za běžného fungování nést ze svého rozpočtu.</w:t>
      </w:r>
    </w:p>
    <w:p w:rsidR="003523A6" w:rsidRDefault="003523A6" w:rsidP="002F0A6B">
      <w:pPr>
        <w:pStyle w:val="NormalWeb"/>
        <w:spacing w:before="0" w:beforeAutospacing="0" w:after="0" w:afterAutospacing="0"/>
        <w:rPr>
          <w:rFonts w:ascii="Calibri" w:hAnsi="Calibri" w:cs="Calibri"/>
          <w:sz w:val="28"/>
          <w:szCs w:val="28"/>
        </w:rPr>
      </w:pPr>
      <w:r w:rsidRPr="00B72ACC">
        <w:rPr>
          <w:rFonts w:ascii="Calibri" w:hAnsi="Calibri" w:cs="Calibri"/>
          <w:sz w:val="28"/>
          <w:szCs w:val="28"/>
        </w:rPr>
        <w:t>Z definice veřejné podpory vyplývá, že podpora může být realizována v různých formách.</w:t>
      </w:r>
    </w:p>
    <w:p w:rsidR="003523A6" w:rsidRPr="00B72ACC" w:rsidRDefault="003523A6" w:rsidP="002F0A6B">
      <w:pPr>
        <w:pStyle w:val="NormalWeb"/>
        <w:spacing w:before="0" w:beforeAutospacing="0" w:after="0" w:afterAutospacing="0"/>
        <w:rPr>
          <w:rFonts w:ascii="Calibri" w:hAnsi="Calibri" w:cs="Calibri"/>
          <w:sz w:val="28"/>
          <w:szCs w:val="28"/>
        </w:rPr>
      </w:pPr>
      <w:r w:rsidRPr="00B72ACC">
        <w:rPr>
          <w:rStyle w:val="Emphasis"/>
          <w:rFonts w:ascii="Calibri" w:hAnsi="Calibri" w:cs="Calibri"/>
          <w:b/>
          <w:bCs/>
          <w:i w:val="0"/>
          <w:sz w:val="28"/>
          <w:szCs w:val="28"/>
        </w:rPr>
        <w:t>Mezi nejčastější formy veřejné podpory můžeme zařadit následující:</w:t>
      </w:r>
      <w:r w:rsidRPr="00B72ACC">
        <w:rPr>
          <w:rStyle w:val="Emphasis"/>
          <w:rFonts w:ascii="Calibri" w:hAnsi="Calibri" w:cs="Calibri"/>
          <w:b/>
          <w:bCs/>
          <w:sz w:val="28"/>
          <w:szCs w:val="28"/>
        </w:rPr>
        <w:t xml:space="preserve"> </w:t>
      </w:r>
    </w:p>
    <w:p w:rsidR="003523A6" w:rsidRDefault="003523A6" w:rsidP="002F0A6B">
      <w:pPr>
        <w:pStyle w:val="NormalWeb"/>
        <w:spacing w:before="0" w:beforeAutospacing="0" w:after="0" w:afterAutospacing="0"/>
        <w:rPr>
          <w:rFonts w:ascii="Calibri" w:hAnsi="Calibri" w:cs="Calibri"/>
          <w:sz w:val="28"/>
          <w:szCs w:val="28"/>
        </w:rPr>
      </w:pPr>
      <w:r w:rsidRPr="00B72ACC">
        <w:rPr>
          <w:rFonts w:ascii="Calibri" w:hAnsi="Calibri" w:cs="Calibri"/>
          <w:sz w:val="28"/>
          <w:szCs w:val="28"/>
        </w:rPr>
        <w:t>Přímé dotace, státní záruky, daňové úlevy, privatizace za zvýhodněnou cenu, navyšování základního kapitálu, úvěry, půjčky a promíjení plateb sociálního a zdravotního pojištění.</w:t>
      </w:r>
    </w:p>
    <w:p w:rsidR="003523A6" w:rsidRDefault="003523A6" w:rsidP="002F0A6B">
      <w:pPr>
        <w:pStyle w:val="NormalWeb"/>
        <w:spacing w:before="0" w:beforeAutospacing="0" w:after="0" w:afterAutospacing="0"/>
        <w:rPr>
          <w:rFonts w:ascii="Calibri" w:hAnsi="Calibri" w:cs="Calibri"/>
          <w:sz w:val="28"/>
          <w:szCs w:val="28"/>
        </w:rPr>
      </w:pPr>
    </w:p>
    <w:p w:rsidR="003523A6" w:rsidRDefault="003523A6" w:rsidP="002F0A6B">
      <w:pPr>
        <w:pStyle w:val="NormalWeb"/>
        <w:spacing w:before="0" w:beforeAutospacing="0" w:after="0" w:afterAutospacing="0"/>
        <w:rPr>
          <w:rFonts w:ascii="Calibri" w:hAnsi="Calibri" w:cs="Calibri"/>
          <w:sz w:val="28"/>
          <w:szCs w:val="28"/>
        </w:rPr>
      </w:pPr>
    </w:p>
    <w:p w:rsidR="003523A6" w:rsidRPr="00B72ACC" w:rsidRDefault="003523A6" w:rsidP="002F0A6B">
      <w:pPr>
        <w:pStyle w:val="NormalWeb"/>
        <w:spacing w:before="0" w:beforeAutospacing="0" w:after="0" w:afterAutospacing="0"/>
        <w:rPr>
          <w:rFonts w:ascii="Calibri" w:hAnsi="Calibri" w:cs="Calibri"/>
          <w:sz w:val="28"/>
          <w:szCs w:val="28"/>
        </w:rPr>
      </w:pPr>
      <w:r>
        <w:rPr>
          <w:rFonts w:ascii="Calibri" w:hAnsi="Calibri" w:cs="Calibri"/>
          <w:sz w:val="28"/>
          <w:szCs w:val="28"/>
        </w:rPr>
        <w:t xml:space="preserve">                                                                        </w:t>
      </w:r>
      <w:r w:rsidRPr="002F0A6B">
        <w:rPr>
          <w:rFonts w:ascii="Calibri" w:hAnsi="Calibri" w:cs="Calibri"/>
          <w:sz w:val="28"/>
          <w:szCs w:val="28"/>
        </w:rPr>
        <w:t>www.uohs.cz/cs/verejna-podpora.html</w:t>
      </w:r>
    </w:p>
    <w:p w:rsidR="003523A6" w:rsidRPr="004422AD" w:rsidRDefault="003523A6">
      <w:pPr>
        <w:rPr>
          <w:rFonts w:cs="Calibri"/>
          <w:sz w:val="28"/>
          <w:szCs w:val="28"/>
        </w:rPr>
      </w:pPr>
    </w:p>
    <w:sectPr w:rsidR="003523A6" w:rsidRPr="004422AD" w:rsidSect="003C75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cryptProviderType="rsaFull" w:cryptAlgorithmClass="hash" w:cryptAlgorithmType="typeAny" w:cryptAlgorithmSid="4" w:cryptSpinCount="100000" w:hash="EmRN+Ovp62YOuDfig7AtzPlEK+k=" w:salt="MR8B5KLQtNGNmisMcKBAqw=="/>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5DE9"/>
    <w:rsid w:val="000238E3"/>
    <w:rsid w:val="00093A1A"/>
    <w:rsid w:val="002F0A6B"/>
    <w:rsid w:val="003523A6"/>
    <w:rsid w:val="003C7589"/>
    <w:rsid w:val="004422AD"/>
    <w:rsid w:val="007B5DE9"/>
    <w:rsid w:val="00B72ACC"/>
    <w:rsid w:val="00D424CE"/>
    <w:rsid w:val="00F15A0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58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422AD"/>
    <w:pPr>
      <w:spacing w:before="100" w:beforeAutospacing="1" w:after="100" w:afterAutospacing="1" w:line="240" w:lineRule="auto"/>
    </w:pPr>
    <w:rPr>
      <w:rFonts w:ascii="Times New Roman" w:eastAsia="Times New Roman" w:hAnsi="Times New Roman"/>
      <w:sz w:val="24"/>
      <w:szCs w:val="24"/>
      <w:lang w:eastAsia="cs-CZ"/>
    </w:rPr>
  </w:style>
  <w:style w:type="character" w:styleId="Strong">
    <w:name w:val="Strong"/>
    <w:basedOn w:val="DefaultParagraphFont"/>
    <w:uiPriority w:val="99"/>
    <w:qFormat/>
    <w:rsid w:val="004422AD"/>
    <w:rPr>
      <w:rFonts w:cs="Times New Roman"/>
      <w:b/>
      <w:bCs/>
    </w:rPr>
  </w:style>
  <w:style w:type="character" w:styleId="Emphasis">
    <w:name w:val="Emphasis"/>
    <w:basedOn w:val="DefaultParagraphFont"/>
    <w:uiPriority w:val="99"/>
    <w:qFormat/>
    <w:rsid w:val="00B72ACC"/>
    <w:rPr>
      <w:rFonts w:cs="Times New Roman"/>
      <w:i/>
      <w:iCs/>
    </w:rPr>
  </w:style>
</w:styles>
</file>

<file path=word/webSettings.xml><?xml version="1.0" encoding="utf-8"?>
<w:webSettings xmlns:r="http://schemas.openxmlformats.org/officeDocument/2006/relationships" xmlns:w="http://schemas.openxmlformats.org/wordprocessingml/2006/main">
  <w:divs>
    <w:div w:id="485361581">
      <w:marLeft w:val="0"/>
      <w:marRight w:val="0"/>
      <w:marTop w:val="0"/>
      <w:marBottom w:val="0"/>
      <w:divBdr>
        <w:top w:val="none" w:sz="0" w:space="0" w:color="auto"/>
        <w:left w:val="none" w:sz="0" w:space="0" w:color="auto"/>
        <w:bottom w:val="none" w:sz="0" w:space="0" w:color="auto"/>
        <w:right w:val="none" w:sz="0" w:space="0" w:color="auto"/>
      </w:divBdr>
      <w:divsChild>
        <w:div w:id="485361590">
          <w:marLeft w:val="0"/>
          <w:marRight w:val="0"/>
          <w:marTop w:val="0"/>
          <w:marBottom w:val="0"/>
          <w:divBdr>
            <w:top w:val="none" w:sz="0" w:space="0" w:color="auto"/>
            <w:left w:val="none" w:sz="0" w:space="0" w:color="auto"/>
            <w:bottom w:val="none" w:sz="0" w:space="0" w:color="auto"/>
            <w:right w:val="none" w:sz="0" w:space="0" w:color="auto"/>
          </w:divBdr>
          <w:divsChild>
            <w:div w:id="485361595">
              <w:marLeft w:val="0"/>
              <w:marRight w:val="0"/>
              <w:marTop w:val="0"/>
              <w:marBottom w:val="0"/>
              <w:divBdr>
                <w:top w:val="none" w:sz="0" w:space="0" w:color="auto"/>
                <w:left w:val="none" w:sz="0" w:space="0" w:color="auto"/>
                <w:bottom w:val="none" w:sz="0" w:space="0" w:color="auto"/>
                <w:right w:val="none" w:sz="0" w:space="0" w:color="auto"/>
              </w:divBdr>
              <w:divsChild>
                <w:div w:id="485361593">
                  <w:marLeft w:val="0"/>
                  <w:marRight w:val="0"/>
                  <w:marTop w:val="0"/>
                  <w:marBottom w:val="0"/>
                  <w:divBdr>
                    <w:top w:val="none" w:sz="0" w:space="0" w:color="auto"/>
                    <w:left w:val="none" w:sz="0" w:space="0" w:color="auto"/>
                    <w:bottom w:val="none" w:sz="0" w:space="0" w:color="auto"/>
                    <w:right w:val="none" w:sz="0" w:space="0" w:color="auto"/>
                  </w:divBdr>
                  <w:divsChild>
                    <w:div w:id="4853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61582">
      <w:marLeft w:val="0"/>
      <w:marRight w:val="0"/>
      <w:marTop w:val="0"/>
      <w:marBottom w:val="0"/>
      <w:divBdr>
        <w:top w:val="none" w:sz="0" w:space="0" w:color="auto"/>
        <w:left w:val="none" w:sz="0" w:space="0" w:color="auto"/>
        <w:bottom w:val="none" w:sz="0" w:space="0" w:color="auto"/>
        <w:right w:val="none" w:sz="0" w:space="0" w:color="auto"/>
      </w:divBdr>
      <w:divsChild>
        <w:div w:id="485361587">
          <w:marLeft w:val="0"/>
          <w:marRight w:val="0"/>
          <w:marTop w:val="0"/>
          <w:marBottom w:val="0"/>
          <w:divBdr>
            <w:top w:val="none" w:sz="0" w:space="0" w:color="auto"/>
            <w:left w:val="none" w:sz="0" w:space="0" w:color="auto"/>
            <w:bottom w:val="none" w:sz="0" w:space="0" w:color="auto"/>
            <w:right w:val="none" w:sz="0" w:space="0" w:color="auto"/>
          </w:divBdr>
          <w:divsChild>
            <w:div w:id="485361596">
              <w:marLeft w:val="0"/>
              <w:marRight w:val="0"/>
              <w:marTop w:val="0"/>
              <w:marBottom w:val="0"/>
              <w:divBdr>
                <w:top w:val="none" w:sz="0" w:space="0" w:color="auto"/>
                <w:left w:val="none" w:sz="0" w:space="0" w:color="auto"/>
                <w:bottom w:val="none" w:sz="0" w:space="0" w:color="auto"/>
                <w:right w:val="none" w:sz="0" w:space="0" w:color="auto"/>
              </w:divBdr>
              <w:divsChild>
                <w:div w:id="485361586">
                  <w:marLeft w:val="0"/>
                  <w:marRight w:val="0"/>
                  <w:marTop w:val="0"/>
                  <w:marBottom w:val="0"/>
                  <w:divBdr>
                    <w:top w:val="none" w:sz="0" w:space="0" w:color="auto"/>
                    <w:left w:val="none" w:sz="0" w:space="0" w:color="auto"/>
                    <w:bottom w:val="none" w:sz="0" w:space="0" w:color="auto"/>
                    <w:right w:val="none" w:sz="0" w:space="0" w:color="auto"/>
                  </w:divBdr>
                  <w:divsChild>
                    <w:div w:id="4853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61584">
      <w:marLeft w:val="0"/>
      <w:marRight w:val="0"/>
      <w:marTop w:val="0"/>
      <w:marBottom w:val="0"/>
      <w:divBdr>
        <w:top w:val="none" w:sz="0" w:space="0" w:color="auto"/>
        <w:left w:val="none" w:sz="0" w:space="0" w:color="auto"/>
        <w:bottom w:val="none" w:sz="0" w:space="0" w:color="auto"/>
        <w:right w:val="none" w:sz="0" w:space="0" w:color="auto"/>
      </w:divBdr>
    </w:div>
    <w:div w:id="485361594">
      <w:marLeft w:val="0"/>
      <w:marRight w:val="0"/>
      <w:marTop w:val="0"/>
      <w:marBottom w:val="0"/>
      <w:divBdr>
        <w:top w:val="none" w:sz="0" w:space="0" w:color="auto"/>
        <w:left w:val="none" w:sz="0" w:space="0" w:color="auto"/>
        <w:bottom w:val="none" w:sz="0" w:space="0" w:color="auto"/>
        <w:right w:val="none" w:sz="0" w:space="0" w:color="auto"/>
      </w:divBdr>
      <w:divsChild>
        <w:div w:id="485361591">
          <w:marLeft w:val="0"/>
          <w:marRight w:val="0"/>
          <w:marTop w:val="0"/>
          <w:marBottom w:val="0"/>
          <w:divBdr>
            <w:top w:val="none" w:sz="0" w:space="0" w:color="auto"/>
            <w:left w:val="none" w:sz="0" w:space="0" w:color="auto"/>
            <w:bottom w:val="none" w:sz="0" w:space="0" w:color="auto"/>
            <w:right w:val="none" w:sz="0" w:space="0" w:color="auto"/>
          </w:divBdr>
          <w:divsChild>
            <w:div w:id="485361588">
              <w:marLeft w:val="0"/>
              <w:marRight w:val="0"/>
              <w:marTop w:val="0"/>
              <w:marBottom w:val="0"/>
              <w:divBdr>
                <w:top w:val="none" w:sz="0" w:space="0" w:color="auto"/>
                <w:left w:val="none" w:sz="0" w:space="0" w:color="auto"/>
                <w:bottom w:val="none" w:sz="0" w:space="0" w:color="auto"/>
                <w:right w:val="none" w:sz="0" w:space="0" w:color="auto"/>
              </w:divBdr>
              <w:divsChild>
                <w:div w:id="485361585">
                  <w:marLeft w:val="0"/>
                  <w:marRight w:val="0"/>
                  <w:marTop w:val="0"/>
                  <w:marBottom w:val="0"/>
                  <w:divBdr>
                    <w:top w:val="none" w:sz="0" w:space="0" w:color="auto"/>
                    <w:left w:val="none" w:sz="0" w:space="0" w:color="auto"/>
                    <w:bottom w:val="none" w:sz="0" w:space="0" w:color="auto"/>
                    <w:right w:val="none" w:sz="0" w:space="0" w:color="auto"/>
                  </w:divBdr>
                  <w:divsChild>
                    <w:div w:id="4853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2</Pages>
  <Words>296</Words>
  <Characters>1749</Characters>
  <Application>Microsoft Office Outlook</Application>
  <DocSecurity>8</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Bendl</dc:creator>
  <cp:keywords/>
  <dc:description/>
  <cp:lastModifiedBy>evidence</cp:lastModifiedBy>
  <cp:revision>3</cp:revision>
  <dcterms:created xsi:type="dcterms:W3CDTF">2013-11-20T07:59:00Z</dcterms:created>
  <dcterms:modified xsi:type="dcterms:W3CDTF">2013-11-27T11:10:00Z</dcterms:modified>
</cp:coreProperties>
</file>